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C2" w:rsidRDefault="00DC5DC2" w:rsidP="00DC5DC2">
      <w:pPr>
        <w:shd w:val="clear" w:color="auto" w:fill="FFFFFF"/>
        <w:spacing w:line="384" w:lineRule="atLeast"/>
        <w:rPr>
          <w:rFonts w:ascii="Times New Roman" w:eastAsia="Times New Roman" w:hAnsi="Times New Roman" w:cs="Times New Roman"/>
          <w:b/>
          <w:bCs/>
          <w:lang w:val="en-GB"/>
        </w:rPr>
      </w:pPr>
      <w:r>
        <w:rPr>
          <w:rFonts w:ascii="Times New Roman" w:eastAsia="Times New Roman" w:hAnsi="Times New Roman" w:cs="Times New Roman"/>
          <w:b/>
          <w:bCs/>
          <w:lang w:val="en-GB"/>
        </w:rPr>
        <w:t>Inside Health Policy</w:t>
      </w:r>
    </w:p>
    <w:p w:rsidR="00DC5DC2" w:rsidRPr="00DC5DC2" w:rsidRDefault="00DC5DC2" w:rsidP="00DC5DC2">
      <w:pPr>
        <w:shd w:val="clear" w:color="auto" w:fill="FFFFFF"/>
        <w:spacing w:line="384" w:lineRule="atLeast"/>
        <w:rPr>
          <w:rFonts w:ascii="Times New Roman" w:eastAsia="Times New Roman" w:hAnsi="Times New Roman" w:cs="Times New Roman"/>
          <w:b/>
          <w:bCs/>
          <w:lang w:val="en-GB"/>
        </w:rPr>
      </w:pPr>
      <w:r w:rsidRPr="00DC5DC2">
        <w:rPr>
          <w:rFonts w:ascii="Times New Roman" w:eastAsia="Times New Roman" w:hAnsi="Times New Roman" w:cs="Times New Roman"/>
          <w:b/>
          <w:bCs/>
          <w:lang w:val="en-GB"/>
        </w:rPr>
        <w:t xml:space="preserve">Daily News </w:t>
      </w:r>
    </w:p>
    <w:p w:rsidR="00DC5DC2" w:rsidRPr="00DC5DC2" w:rsidRDefault="00DC5DC2" w:rsidP="00DC5DC2">
      <w:pPr>
        <w:shd w:val="clear" w:color="auto" w:fill="FFFFFF"/>
        <w:spacing w:before="60" w:line="420" w:lineRule="atLeast"/>
        <w:outlineLvl w:val="0"/>
        <w:rPr>
          <w:rFonts w:ascii="Times New Roman" w:eastAsia="Times New Roman" w:hAnsi="Times New Roman" w:cs="Times New Roman"/>
          <w:kern w:val="36"/>
          <w:lang w:val="en-GB"/>
        </w:rPr>
      </w:pPr>
      <w:r w:rsidRPr="00DC5DC2">
        <w:rPr>
          <w:rFonts w:ascii="Times New Roman" w:eastAsia="Times New Roman" w:hAnsi="Times New Roman" w:cs="Times New Roman"/>
          <w:kern w:val="36"/>
          <w:lang w:val="en-GB"/>
        </w:rPr>
        <w:t xml:space="preserve">Providers Face More Overpayment Recoveries Due To Little-Noticed SGR Offset </w:t>
      </w:r>
    </w:p>
    <w:p w:rsidR="00DC5DC2" w:rsidRPr="00DC5DC2" w:rsidRDefault="00DC5DC2" w:rsidP="00DC5DC2">
      <w:pPr>
        <w:shd w:val="clear" w:color="auto" w:fill="FFFFFF"/>
        <w:spacing w:line="384" w:lineRule="atLeast"/>
        <w:rPr>
          <w:rFonts w:ascii="Times New Roman" w:eastAsia="Times New Roman" w:hAnsi="Times New Roman" w:cs="Times New Roman"/>
          <w:b/>
          <w:bCs/>
          <w:lang w:val="en-GB"/>
        </w:rPr>
      </w:pPr>
      <w:r w:rsidRPr="00DC5DC2">
        <w:rPr>
          <w:rFonts w:ascii="Times New Roman" w:eastAsia="Times New Roman" w:hAnsi="Times New Roman" w:cs="Times New Roman"/>
          <w:b/>
          <w:bCs/>
          <w:lang w:val="en-GB"/>
        </w:rPr>
        <w:t xml:space="preserve">January 14, 2013 </w:t>
      </w:r>
    </w:p>
    <w:p w:rsidR="00DC5DC2" w:rsidRDefault="00DC5DC2" w:rsidP="00DC5DC2">
      <w:pPr>
        <w:shd w:val="clear" w:color="auto" w:fill="FFFFFF"/>
        <w:spacing w:after="225" w:line="270" w:lineRule="atLeast"/>
        <w:rPr>
          <w:rFonts w:ascii="Times New Roman" w:eastAsia="Times New Roman" w:hAnsi="Times New Roman" w:cs="Times New Roman"/>
          <w:lang w:val="en-GB"/>
        </w:rPr>
      </w:pP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One of the Medicare physician payment patch's offsets that has received little attention in the weeks following the fiscal cliff deal allows contractors to recover overpayments for up to five years, increasing providers' exposure and liability for recoveries, experts say.</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A legal analysis from Arent Fox says the provision, which increases the government's overpayment recovery period from three years to five, has been largely unnoticed but that it could have a very significant impact on providers. The provision is expected to save the government $500 million in previously uncollected overpayments.</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Many providers may not yet be aware of the the provision, which went into effect immediately, but attorney Paula Sanders at Post and Schell said that over the course of the next month she expects they will take notice as the new policy comes into play. Although CMS has not released guidance on the change, Sanders said she expects the agency will tell the Recovery Audit Contractors to go back five years when looking at potential overpayments.</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The provision, however, does not change the re-opening period. “Although the overpayment recovery period has now been extended to five years, absent fraud or similar fault, contractors still generally have just four years to reopen and adjust paid claims,” Arent Fox's legal analysis says.</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The provision was the result of a recommendation from the Office of the Inspector General that found changing the recovery period to five years after the payment was made would allow for the government to collect previously identified overpayments. The previous three-year recovery period was a barrier to collecting overpayment that the OIG identified but the government could not collect, according to the report.</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 xml:space="preserve">One health care expert said that while the fiscal cliff provision will mean a lot more exposure for providers, it is still far better than the 10-year look back period that CMS </w:t>
      </w:r>
      <w:hyperlink r:id="rId7" w:history="1">
        <w:r w:rsidRPr="00DC5DC2">
          <w:rPr>
            <w:rFonts w:ascii="Times New Roman" w:eastAsia="Times New Roman" w:hAnsi="Times New Roman" w:cs="Times New Roman"/>
            <w:u w:val="single"/>
            <w:lang w:val="en-GB"/>
          </w:rPr>
          <w:t>proposed</w:t>
        </w:r>
      </w:hyperlink>
      <w:r w:rsidRPr="00DC5DC2">
        <w:rPr>
          <w:rFonts w:ascii="Times New Roman" w:eastAsia="Times New Roman" w:hAnsi="Times New Roman" w:cs="Times New Roman"/>
          <w:lang w:val="en-GB"/>
        </w:rPr>
        <w:t xml:space="preserve"> in February 2012, which was heavily criticized by providers across the health care spectrum. Sanders speculated that perhaps Congress' actions in setting the recovery period will mean that CMS final regulations on overpayment recovery will not include the proposed longer look-back period.</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Also, the provision may not have attracted much attention as many providers made it out of the fiscal cliff discussions relatively unscathed, one health care expert said. Compared to what potentially lies ahead with upcoming budget negotiations, this provision may not be providers' biggest concern.</w:t>
      </w:r>
    </w:p>
    <w:p w:rsidR="00DC5DC2"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 xml:space="preserve">Sanders said she expects the number of appeals will increase as the number of claims from which contractors can recover overpayments increases. But one health care expert said while the new policy will most likely increase the number of audits, it could cut both ways on the final number of appeals as hospitals and other providers are not following through with all potential appeals partially due to the expense of the appeals process. The American Hospital Association's RACTrac survey says that 58 percent of hospitals have spent more than $10,000 managing the RAC process in the third quarter of </w:t>
      </w:r>
      <w:r w:rsidRPr="00DC5DC2">
        <w:rPr>
          <w:rFonts w:ascii="Times New Roman" w:eastAsia="Times New Roman" w:hAnsi="Times New Roman" w:cs="Times New Roman"/>
          <w:lang w:val="en-GB"/>
        </w:rPr>
        <w:lastRenderedPageBreak/>
        <w:t>2012. Although hospitals are currently only appealing about 40 percent of RAC decisions, AHA has said they will encourage hospitals to appeal every RAC denial.</w:t>
      </w:r>
    </w:p>
    <w:p w:rsidR="004B06EA" w:rsidRPr="00DC5DC2" w:rsidRDefault="00DC5DC2" w:rsidP="00DC5DC2">
      <w:pPr>
        <w:shd w:val="clear" w:color="auto" w:fill="FFFFFF"/>
        <w:spacing w:after="225" w:line="270" w:lineRule="atLeast"/>
        <w:rPr>
          <w:rFonts w:ascii="Times New Roman" w:eastAsia="Times New Roman" w:hAnsi="Times New Roman" w:cs="Times New Roman"/>
          <w:lang w:val="en-GB"/>
        </w:rPr>
      </w:pPr>
      <w:r w:rsidRPr="00DC5DC2">
        <w:rPr>
          <w:rFonts w:ascii="Times New Roman" w:eastAsia="Times New Roman" w:hAnsi="Times New Roman" w:cs="Times New Roman"/>
          <w:lang w:val="en-GB"/>
        </w:rPr>
        <w:t>The appeals process has also experienced backlogs at the second and third levels of appeals, partially due to an exponential increase of RAC appeals, and as a result CMS has experienced difficulties meeting deadlines for hearing cases (</w:t>
      </w:r>
      <w:hyperlink r:id="rId8" w:history="1">
        <w:r w:rsidRPr="00DC5DC2">
          <w:rPr>
            <w:rFonts w:ascii="Times New Roman" w:eastAsia="Times New Roman" w:hAnsi="Times New Roman" w:cs="Times New Roman"/>
            <w:u w:val="single"/>
            <w:lang w:val="en-GB"/>
          </w:rPr>
          <w:t>see related story</w:t>
        </w:r>
      </w:hyperlink>
      <w:r w:rsidRPr="00DC5DC2">
        <w:rPr>
          <w:rFonts w:ascii="Times New Roman" w:eastAsia="Times New Roman" w:hAnsi="Times New Roman" w:cs="Times New Roman"/>
          <w:lang w:val="en-GB"/>
        </w:rPr>
        <w:t xml:space="preserve">). -- </w:t>
      </w:r>
      <w:r w:rsidRPr="00DC5DC2">
        <w:rPr>
          <w:rFonts w:ascii="Times New Roman" w:eastAsia="Times New Roman" w:hAnsi="Times New Roman" w:cs="Times New Roman"/>
          <w:i/>
          <w:iCs/>
          <w:lang w:val="en-GB"/>
        </w:rPr>
        <w:t>Michelle M. Stein</w:t>
      </w:r>
      <w:r>
        <w:rPr>
          <w:rFonts w:ascii="Times New Roman" w:eastAsia="Times New Roman" w:hAnsi="Times New Roman" w:cs="Times New Roman"/>
          <w:lang w:val="en-GB"/>
        </w:rPr>
        <w:t xml:space="preserve"> </w:t>
      </w:r>
      <w:bookmarkStart w:id="0" w:name="_GoBack"/>
      <w:bookmarkEnd w:id="0"/>
    </w:p>
    <w:sectPr w:rsidR="004B06EA" w:rsidRPr="00DC5D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565" w:rsidRDefault="00265565" w:rsidP="00DC5DC2">
      <w:r>
        <w:separator/>
      </w:r>
    </w:p>
  </w:endnote>
  <w:endnote w:type="continuationSeparator" w:id="0">
    <w:p w:rsidR="00265565" w:rsidRDefault="00265565" w:rsidP="00DC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946791"/>
      <w:docPartObj>
        <w:docPartGallery w:val="Page Numbers (Bottom of Page)"/>
        <w:docPartUnique/>
      </w:docPartObj>
    </w:sdtPr>
    <w:sdtEndPr>
      <w:rPr>
        <w:noProof/>
      </w:rPr>
    </w:sdtEndPr>
    <w:sdtContent>
      <w:p w:rsidR="00DC5DC2" w:rsidRDefault="00DC5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C5DC2" w:rsidRDefault="00DC5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565" w:rsidRDefault="00265565" w:rsidP="00DC5DC2">
      <w:r>
        <w:separator/>
      </w:r>
    </w:p>
  </w:footnote>
  <w:footnote w:type="continuationSeparator" w:id="0">
    <w:p w:rsidR="00265565" w:rsidRDefault="00265565" w:rsidP="00DC5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C2"/>
    <w:rsid w:val="00265565"/>
    <w:rsid w:val="004B06EA"/>
    <w:rsid w:val="00DC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5DC2"/>
    <w:pPr>
      <w:spacing w:line="480" w:lineRule="atLeast"/>
      <w:outlineLvl w:val="0"/>
    </w:pPr>
    <w:rPr>
      <w:rFonts w:ascii="Times New Roman" w:eastAsia="Times New Roman" w:hAnsi="Times New Roman" w:cs="Times New Roman"/>
      <w:color w:val="000000"/>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C2"/>
    <w:rPr>
      <w:rFonts w:ascii="Times New Roman" w:eastAsia="Times New Roman" w:hAnsi="Times New Roman" w:cs="Times New Roman"/>
      <w:color w:val="000000"/>
      <w:kern w:val="36"/>
      <w:sz w:val="42"/>
      <w:szCs w:val="42"/>
    </w:rPr>
  </w:style>
  <w:style w:type="paragraph" w:styleId="NormalWeb">
    <w:name w:val="Normal (Web)"/>
    <w:basedOn w:val="Normal"/>
    <w:uiPriority w:val="99"/>
    <w:semiHidden/>
    <w:unhideWhenUsed/>
    <w:rsid w:val="00DC5DC2"/>
    <w:pPr>
      <w:spacing w:after="225" w:line="270"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DC5DC2"/>
    <w:rPr>
      <w:i/>
      <w:iCs/>
    </w:rPr>
  </w:style>
  <w:style w:type="paragraph" w:styleId="Header">
    <w:name w:val="header"/>
    <w:basedOn w:val="Normal"/>
    <w:link w:val="HeaderChar"/>
    <w:uiPriority w:val="99"/>
    <w:unhideWhenUsed/>
    <w:rsid w:val="00DC5DC2"/>
    <w:pPr>
      <w:tabs>
        <w:tab w:val="center" w:pos="4680"/>
        <w:tab w:val="right" w:pos="9360"/>
      </w:tabs>
    </w:pPr>
  </w:style>
  <w:style w:type="character" w:customStyle="1" w:styleId="HeaderChar">
    <w:name w:val="Header Char"/>
    <w:basedOn w:val="DefaultParagraphFont"/>
    <w:link w:val="Header"/>
    <w:uiPriority w:val="99"/>
    <w:rsid w:val="00DC5DC2"/>
  </w:style>
  <w:style w:type="paragraph" w:styleId="Footer">
    <w:name w:val="footer"/>
    <w:basedOn w:val="Normal"/>
    <w:link w:val="FooterChar"/>
    <w:uiPriority w:val="99"/>
    <w:unhideWhenUsed/>
    <w:rsid w:val="00DC5DC2"/>
    <w:pPr>
      <w:tabs>
        <w:tab w:val="center" w:pos="4680"/>
        <w:tab w:val="right" w:pos="9360"/>
      </w:tabs>
    </w:pPr>
  </w:style>
  <w:style w:type="character" w:customStyle="1" w:styleId="FooterChar">
    <w:name w:val="Footer Char"/>
    <w:basedOn w:val="DefaultParagraphFont"/>
    <w:link w:val="Footer"/>
    <w:uiPriority w:val="99"/>
    <w:rsid w:val="00DC5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5DC2"/>
    <w:pPr>
      <w:spacing w:line="480" w:lineRule="atLeast"/>
      <w:outlineLvl w:val="0"/>
    </w:pPr>
    <w:rPr>
      <w:rFonts w:ascii="Times New Roman" w:eastAsia="Times New Roman" w:hAnsi="Times New Roman" w:cs="Times New Roman"/>
      <w:color w:val="000000"/>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C2"/>
    <w:rPr>
      <w:rFonts w:ascii="Times New Roman" w:eastAsia="Times New Roman" w:hAnsi="Times New Roman" w:cs="Times New Roman"/>
      <w:color w:val="000000"/>
      <w:kern w:val="36"/>
      <w:sz w:val="42"/>
      <w:szCs w:val="42"/>
    </w:rPr>
  </w:style>
  <w:style w:type="paragraph" w:styleId="NormalWeb">
    <w:name w:val="Normal (Web)"/>
    <w:basedOn w:val="Normal"/>
    <w:uiPriority w:val="99"/>
    <w:semiHidden/>
    <w:unhideWhenUsed/>
    <w:rsid w:val="00DC5DC2"/>
    <w:pPr>
      <w:spacing w:after="225" w:line="270"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DC5DC2"/>
    <w:rPr>
      <w:i/>
      <w:iCs/>
    </w:rPr>
  </w:style>
  <w:style w:type="paragraph" w:styleId="Header">
    <w:name w:val="header"/>
    <w:basedOn w:val="Normal"/>
    <w:link w:val="HeaderChar"/>
    <w:uiPriority w:val="99"/>
    <w:unhideWhenUsed/>
    <w:rsid w:val="00DC5DC2"/>
    <w:pPr>
      <w:tabs>
        <w:tab w:val="center" w:pos="4680"/>
        <w:tab w:val="right" w:pos="9360"/>
      </w:tabs>
    </w:pPr>
  </w:style>
  <w:style w:type="character" w:customStyle="1" w:styleId="HeaderChar">
    <w:name w:val="Header Char"/>
    <w:basedOn w:val="DefaultParagraphFont"/>
    <w:link w:val="Header"/>
    <w:uiPriority w:val="99"/>
    <w:rsid w:val="00DC5DC2"/>
  </w:style>
  <w:style w:type="paragraph" w:styleId="Footer">
    <w:name w:val="footer"/>
    <w:basedOn w:val="Normal"/>
    <w:link w:val="FooterChar"/>
    <w:uiPriority w:val="99"/>
    <w:unhideWhenUsed/>
    <w:rsid w:val="00DC5DC2"/>
    <w:pPr>
      <w:tabs>
        <w:tab w:val="center" w:pos="4680"/>
        <w:tab w:val="right" w:pos="9360"/>
      </w:tabs>
    </w:pPr>
  </w:style>
  <w:style w:type="character" w:customStyle="1" w:styleId="FooterChar">
    <w:name w:val="Footer Char"/>
    <w:basedOn w:val="DefaultParagraphFont"/>
    <w:link w:val="Footer"/>
    <w:uiPriority w:val="99"/>
    <w:rsid w:val="00DC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50040">
      <w:bodyDiv w:val="1"/>
      <w:marLeft w:val="0"/>
      <w:marRight w:val="0"/>
      <w:marTop w:val="0"/>
      <w:marBottom w:val="0"/>
      <w:divBdr>
        <w:top w:val="none" w:sz="0" w:space="0" w:color="auto"/>
        <w:left w:val="none" w:sz="0" w:space="0" w:color="auto"/>
        <w:bottom w:val="none" w:sz="0" w:space="0" w:color="auto"/>
        <w:right w:val="none" w:sz="0" w:space="0" w:color="auto"/>
      </w:divBdr>
      <w:divsChild>
        <w:div w:id="1154878273">
          <w:marLeft w:val="0"/>
          <w:marRight w:val="0"/>
          <w:marTop w:val="0"/>
          <w:marBottom w:val="0"/>
          <w:divBdr>
            <w:top w:val="none" w:sz="0" w:space="0" w:color="auto"/>
            <w:left w:val="none" w:sz="0" w:space="0" w:color="auto"/>
            <w:bottom w:val="none" w:sz="0" w:space="0" w:color="auto"/>
            <w:right w:val="none" w:sz="0" w:space="0" w:color="auto"/>
          </w:divBdr>
          <w:divsChild>
            <w:div w:id="1281642445">
              <w:marLeft w:val="0"/>
              <w:marRight w:val="0"/>
              <w:marTop w:val="60"/>
              <w:marBottom w:val="60"/>
              <w:divBdr>
                <w:top w:val="none" w:sz="0" w:space="0" w:color="auto"/>
                <w:left w:val="none" w:sz="0" w:space="0" w:color="auto"/>
                <w:bottom w:val="none" w:sz="0" w:space="0" w:color="auto"/>
                <w:right w:val="none" w:sz="0" w:space="0" w:color="auto"/>
              </w:divBdr>
            </w:div>
            <w:div w:id="276832196">
              <w:marLeft w:val="0"/>
              <w:marRight w:val="0"/>
              <w:marTop w:val="0"/>
              <w:marBottom w:val="0"/>
              <w:divBdr>
                <w:top w:val="none" w:sz="0" w:space="0" w:color="auto"/>
                <w:left w:val="none" w:sz="0" w:space="0" w:color="auto"/>
                <w:bottom w:val="none" w:sz="0" w:space="0" w:color="auto"/>
                <w:right w:val="none" w:sz="0" w:space="0" w:color="auto"/>
              </w:divBdr>
            </w:div>
            <w:div w:id="1782993410">
              <w:marLeft w:val="0"/>
              <w:marRight w:val="0"/>
              <w:marTop w:val="0"/>
              <w:marBottom w:val="0"/>
              <w:divBdr>
                <w:top w:val="none" w:sz="0" w:space="0" w:color="auto"/>
                <w:left w:val="none" w:sz="0" w:space="0" w:color="auto"/>
                <w:bottom w:val="none" w:sz="0" w:space="0" w:color="auto"/>
                <w:right w:val="none" w:sz="0" w:space="0" w:color="auto"/>
              </w:divBdr>
              <w:divsChild>
                <w:div w:id="796728134">
                  <w:marLeft w:val="0"/>
                  <w:marRight w:val="0"/>
                  <w:marTop w:val="60"/>
                  <w:marBottom w:val="180"/>
                  <w:divBdr>
                    <w:top w:val="single" w:sz="6" w:space="3" w:color="E9E9E9"/>
                    <w:left w:val="none" w:sz="0" w:space="0" w:color="auto"/>
                    <w:bottom w:val="single" w:sz="6" w:space="3" w:color="E9E9E9"/>
                    <w:right w:val="none" w:sz="0" w:space="0" w:color="auto"/>
                  </w:divBdr>
                </w:div>
                <w:div w:id="17548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idehealthpolicy.com/201212132418997/Health-Daily-News/Daily-News/delays-in-medicare-appeal-reviews-grow-due-to-backlog/menu-id-212.html" TargetMode="External"/><Relationship Id="rId3" Type="http://schemas.openxmlformats.org/officeDocument/2006/relationships/settings" Target="settings.xml"/><Relationship Id="rId7" Type="http://schemas.openxmlformats.org/officeDocument/2006/relationships/hyperlink" Target="http://insidehealthpolicy.com/201204162396094/Health-Daily-News/Daily-News/providers-urge-cms-to-reconsider-10-year-lookback-for-overpayments/menu-id-21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cp:revision>
  <dcterms:created xsi:type="dcterms:W3CDTF">2013-03-15T15:49:00Z</dcterms:created>
  <dcterms:modified xsi:type="dcterms:W3CDTF">2013-03-15T15:51:00Z</dcterms:modified>
</cp:coreProperties>
</file>